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6718" w14:textId="37FCCD37" w:rsidR="00AF231A" w:rsidRPr="00AF231A" w:rsidRDefault="00AF231A" w:rsidP="00AF231A">
      <w:pPr>
        <w:rPr>
          <w:rFonts w:ascii="Century Gothic" w:hAnsi="Century Gothic"/>
          <w:color w:val="002060"/>
          <w:sz w:val="36"/>
          <w:szCs w:val="36"/>
        </w:rPr>
      </w:pPr>
      <w:r w:rsidRPr="00AF231A">
        <w:rPr>
          <w:rFonts w:ascii="Century Gothic" w:hAnsi="Century Gothic"/>
          <w:color w:val="002060"/>
          <w:sz w:val="36"/>
          <w:szCs w:val="36"/>
        </w:rPr>
        <w:t xml:space="preserve">NABO </w:t>
      </w:r>
      <w:r w:rsidR="00A842FA">
        <w:rPr>
          <w:rFonts w:ascii="Century Gothic" w:hAnsi="Century Gothic"/>
          <w:color w:val="002060"/>
          <w:sz w:val="36"/>
          <w:szCs w:val="36"/>
        </w:rPr>
        <w:t xml:space="preserve">SUB SAHARAN </w:t>
      </w:r>
      <w:r w:rsidRPr="00AF231A">
        <w:rPr>
          <w:rFonts w:ascii="Century Gothic" w:hAnsi="Century Gothic"/>
          <w:color w:val="002060"/>
          <w:sz w:val="36"/>
          <w:szCs w:val="36"/>
        </w:rPr>
        <w:t>MARKETS MONTHLY</w:t>
      </w:r>
      <w:r w:rsidR="00A842FA">
        <w:rPr>
          <w:rFonts w:ascii="Century Gothic" w:hAnsi="Century Gothic"/>
          <w:color w:val="002060"/>
          <w:sz w:val="36"/>
          <w:szCs w:val="36"/>
        </w:rPr>
        <w:t xml:space="preserve"> NOTE</w:t>
      </w:r>
      <w:r w:rsidRPr="00AF231A">
        <w:rPr>
          <w:rFonts w:ascii="Century Gothic" w:hAnsi="Century Gothic"/>
          <w:color w:val="002060"/>
          <w:sz w:val="36"/>
          <w:szCs w:val="36"/>
        </w:rPr>
        <w:t>: SIGNALS IN THE SUMMER NOISE</w:t>
      </w:r>
    </w:p>
    <w:p w14:paraId="1D68BDAB" w14:textId="77777777" w:rsidR="00AF231A" w:rsidRDefault="00AF231A" w:rsidP="00AF231A"/>
    <w:p w14:paraId="19B3A264" w14:textId="0CC47297" w:rsidR="00AF231A" w:rsidRDefault="00AF231A" w:rsidP="00AF231A">
      <w:r>
        <w:t>August 2025 Note</w:t>
      </w:r>
    </w:p>
    <w:p w14:paraId="08D03CE3" w14:textId="667972D8" w:rsidR="00AF231A" w:rsidRDefault="00947D40" w:rsidP="00AF231A">
      <w:proofErr w:type="spellStart"/>
      <w:r>
        <w:t>Teddey</w:t>
      </w:r>
      <w:proofErr w:type="spellEnd"/>
      <w:r>
        <w:t xml:space="preserve"> </w:t>
      </w:r>
      <w:proofErr w:type="spellStart"/>
      <w:r>
        <w:t>Muthoka</w:t>
      </w:r>
      <w:proofErr w:type="spellEnd"/>
    </w:p>
    <w:p w14:paraId="3C6C2005" w14:textId="77777777" w:rsidR="00AF231A" w:rsidRDefault="00AF231A" w:rsidP="00AF231A"/>
    <w:p w14:paraId="5DE29AB4" w14:textId="4561DBFF" w:rsidR="00947D40" w:rsidRPr="00947D40" w:rsidRDefault="00A842FA" w:rsidP="00D765C4">
      <w:r>
        <w:rPr>
          <w:b/>
          <w:bCs/>
        </w:rPr>
        <w:t>SSA</w:t>
      </w:r>
      <w:r w:rsidR="00FF1508" w:rsidRPr="00FF1508">
        <w:rPr>
          <w:b/>
          <w:bCs/>
        </w:rPr>
        <w:t xml:space="preserve"> Macro Overview – </w:t>
      </w:r>
      <w:r w:rsidR="00D765C4" w:rsidRPr="00CB506E">
        <w:rPr>
          <w:b/>
          <w:bCs/>
        </w:rPr>
        <w:t>Slowing Growth, Policy Shifts, and Equity Market Resilience</w:t>
      </w:r>
    </w:p>
    <w:p w14:paraId="303FEC1B" w14:textId="77777777" w:rsidR="004942B2" w:rsidRDefault="004942B2" w:rsidP="00D765C4">
      <w:pPr>
        <w:rPr>
          <w:b/>
          <w:bCs/>
        </w:rPr>
      </w:pPr>
    </w:p>
    <w:p w14:paraId="2E639303" w14:textId="59F53D5D" w:rsidR="00EF52B8" w:rsidRDefault="00EF52B8" w:rsidP="00AF231A">
      <w:r w:rsidRPr="00EF52B8">
        <w:t xml:space="preserve">The region's economic growth is slowing, with a revised forecast of 3.8% GDP growth in 2025, down from 4.0% in 2024. </w:t>
      </w:r>
    </w:p>
    <w:p w14:paraId="6FE63916" w14:textId="77777777" w:rsidR="00EF52B8" w:rsidRDefault="00EF52B8" w:rsidP="00AF231A"/>
    <w:p w14:paraId="680560EB" w14:textId="3C003B0D" w:rsidR="00FF1508" w:rsidRPr="00EF52B8" w:rsidRDefault="00EF52B8" w:rsidP="00AF231A">
      <w:r w:rsidRPr="00EF52B8">
        <w:t>Key challenges include mounting public debt averaging over 60% of GDP in many countries, rising debt servicing costs absorbing over 40% of government revenues in some cases, declining donor assistance, and exposure to global shocks like trade tensions and commodity price fluctuations</w:t>
      </w:r>
    </w:p>
    <w:p w14:paraId="1D59E09D" w14:textId="77777777" w:rsidR="00EF52B8" w:rsidRDefault="00EF52B8" w:rsidP="00AF231A">
      <w:pPr>
        <w:rPr>
          <w:b/>
          <w:bCs/>
        </w:rPr>
      </w:pPr>
    </w:p>
    <w:p w14:paraId="628B31E4" w14:textId="27C5E7B0" w:rsidR="00FF1508" w:rsidRDefault="00EF52B8" w:rsidP="00AF231A">
      <w:r>
        <w:t xml:space="preserve">On monetary policy easing movements, Kenya and Lesotho joined their SSA counterparts with noted rate cuts of 25bps to 9.50% and 25bps to 6.75% respectively, following similar decisions by other nations such as South Africa (25bps to 7%), Mozambique (75bps to 10.75%), Morocco (25bps to 2.25%). </w:t>
      </w:r>
    </w:p>
    <w:p w14:paraId="01ACA0F7" w14:textId="77777777" w:rsidR="00FF1508" w:rsidRDefault="00FF1508" w:rsidP="00AF231A"/>
    <w:p w14:paraId="0081D7BA" w14:textId="4E6540AC" w:rsidR="00FF1508" w:rsidRDefault="00EF52B8" w:rsidP="00AF231A">
      <w:r>
        <w:t xml:space="preserve">Across Southern Africa, inflation remains muted and on a slight downward trend in the South African and Zambian markets respectively. </w:t>
      </w:r>
    </w:p>
    <w:p w14:paraId="3836F863" w14:textId="77777777" w:rsidR="00FF1508" w:rsidRDefault="00FF1508" w:rsidP="00AF231A"/>
    <w:p w14:paraId="5124539E" w14:textId="3DCE8E54" w:rsidR="00FF1508" w:rsidRDefault="0053470A" w:rsidP="00AF231A">
      <w:r>
        <w:t xml:space="preserve">Zambia is experiencing its strongest economic growth since 2021, supported primarily by increased copper production, improved rainfall and a rebound in agricultural output. </w:t>
      </w:r>
    </w:p>
    <w:p w14:paraId="3A5A1C37" w14:textId="77777777" w:rsidR="00FF1508" w:rsidRDefault="00FF1508" w:rsidP="00AF231A"/>
    <w:p w14:paraId="4C6CBAD3" w14:textId="12986C87" w:rsidR="00FF1508" w:rsidRDefault="0053470A" w:rsidP="00AF231A">
      <w:r>
        <w:t xml:space="preserve">Botswana and Angola continue to experience economic contraction, primarily affected by a weak mining sector and lower oil production growth and weaker oil prices respectively.  </w:t>
      </w:r>
    </w:p>
    <w:p w14:paraId="0F6C5B23" w14:textId="1C7C72D1" w:rsidR="0053470A" w:rsidRDefault="0053470A" w:rsidP="00AF231A"/>
    <w:p w14:paraId="52832860" w14:textId="476CDFAF" w:rsidR="0053470A" w:rsidRDefault="0053470A" w:rsidP="00AF231A">
      <w:r>
        <w:t xml:space="preserve">Ghana’s monetary policy continues to remain tight, with the Bank of Ghana maintaining rates above 25% to control inflation and support the currency. The government continues fiscal consolidation and revenue mobilization efforts, supported by IMF programs. </w:t>
      </w:r>
    </w:p>
    <w:p w14:paraId="2B49AB41" w14:textId="77777777" w:rsidR="00FF1508" w:rsidRDefault="00FF1508" w:rsidP="00AF231A"/>
    <w:p w14:paraId="49F24607" w14:textId="451D2A16" w:rsidR="00D641D5" w:rsidRDefault="0053470A" w:rsidP="00AF231A">
      <w:r>
        <w:t xml:space="preserve">Nigeria remains in the balance, as it faces elevated sovereign fixed income yields and inflationary pressures, with paused rate hikes and disinflation jitters. </w:t>
      </w:r>
    </w:p>
    <w:p w14:paraId="25F3C81F" w14:textId="77777777" w:rsidR="00D641D5" w:rsidRDefault="00D641D5" w:rsidP="00AF231A"/>
    <w:p w14:paraId="372671D4" w14:textId="7FC56706" w:rsidR="00D641D5" w:rsidRPr="00D641D5" w:rsidRDefault="00D641D5" w:rsidP="00AF231A">
      <w:pPr>
        <w:rPr>
          <w:b/>
          <w:bCs/>
        </w:rPr>
      </w:pPr>
      <w:r w:rsidRPr="00D641D5">
        <w:rPr>
          <w:b/>
          <w:bCs/>
        </w:rPr>
        <w:t>Equities Commentary</w:t>
      </w:r>
      <w:r w:rsidRPr="00E403D0">
        <w:rPr>
          <w:b/>
          <w:bCs/>
        </w:rPr>
        <w:t xml:space="preserve">: </w:t>
      </w:r>
      <w:r w:rsidR="00543E69">
        <w:rPr>
          <w:b/>
          <w:bCs/>
        </w:rPr>
        <w:t>Re</w:t>
      </w:r>
      <w:r w:rsidR="00974329">
        <w:rPr>
          <w:b/>
          <w:bCs/>
        </w:rPr>
        <w:t>s</w:t>
      </w:r>
      <w:r w:rsidR="0023501C">
        <w:rPr>
          <w:b/>
          <w:bCs/>
        </w:rPr>
        <w:t>ilie</w:t>
      </w:r>
      <w:r w:rsidR="00CD33C6">
        <w:rPr>
          <w:b/>
          <w:bCs/>
        </w:rPr>
        <w:t>nce</w:t>
      </w:r>
      <w:r w:rsidR="005E3AC9">
        <w:rPr>
          <w:b/>
          <w:bCs/>
        </w:rPr>
        <w:t>, Re</w:t>
      </w:r>
      <w:r w:rsidR="00160E1B">
        <w:rPr>
          <w:b/>
          <w:bCs/>
        </w:rPr>
        <w:t>sil</w:t>
      </w:r>
      <w:r w:rsidR="000479D0">
        <w:rPr>
          <w:b/>
          <w:bCs/>
        </w:rPr>
        <w:t>ience</w:t>
      </w:r>
      <w:r w:rsidR="00311CE0">
        <w:rPr>
          <w:b/>
          <w:bCs/>
        </w:rPr>
        <w:t xml:space="preserve">, </w:t>
      </w:r>
      <w:r w:rsidR="005B0483">
        <w:rPr>
          <w:b/>
          <w:bCs/>
        </w:rPr>
        <w:t>Resilience</w:t>
      </w:r>
      <w:r w:rsidR="00BD61D9">
        <w:rPr>
          <w:b/>
          <w:bCs/>
        </w:rPr>
        <w:t>.</w:t>
      </w:r>
    </w:p>
    <w:p w14:paraId="78987562" w14:textId="77777777" w:rsidR="00D641D5" w:rsidRDefault="00D641D5" w:rsidP="00AF231A"/>
    <w:p w14:paraId="780A132B" w14:textId="67938128" w:rsidR="001046BB" w:rsidRPr="001046BB" w:rsidRDefault="001046BB" w:rsidP="001046BB">
      <w:pPr>
        <w:rPr>
          <w:lang w:val="en-US"/>
        </w:rPr>
      </w:pPr>
      <w:r w:rsidRPr="001046BB">
        <w:rPr>
          <w:lang w:val="en-US"/>
        </w:rPr>
        <w:t xml:space="preserve">August showcased African equity market dominance with four major exchanges (Morocco, Nigeria, Ghana, South Africa) hitting all-time highs despite </w:t>
      </w:r>
      <w:r>
        <w:rPr>
          <w:lang w:val="en-US"/>
        </w:rPr>
        <w:t>E</w:t>
      </w:r>
      <w:r w:rsidRPr="001046BB">
        <w:rPr>
          <w:lang w:val="en-US"/>
        </w:rPr>
        <w:t>urobond turmoil, proving corporate fundamentals have decisively decoupled from sovereign credit concerns.</w:t>
      </w:r>
    </w:p>
    <w:p w14:paraId="31A1C070" w14:textId="77777777" w:rsidR="001046BB" w:rsidRDefault="001046BB" w:rsidP="001046BB"/>
    <w:p w14:paraId="3204DDE9" w14:textId="358E5D65" w:rsidR="001046BB" w:rsidRDefault="001046BB" w:rsidP="001046BB">
      <w:r>
        <w:t xml:space="preserve">Morocco's MASI hit record highs around 20,340 points with 35% year-to-date gains with financial sector dominance and an infrastructure boom leading the uptick. </w:t>
      </w:r>
    </w:p>
    <w:p w14:paraId="27548DD3" w14:textId="77777777" w:rsidR="001046BB" w:rsidRDefault="001046BB" w:rsidP="001046BB"/>
    <w:p w14:paraId="7FC1F80D" w14:textId="754F880B" w:rsidR="001046BB" w:rsidRDefault="001046BB" w:rsidP="001046BB">
      <w:r>
        <w:t xml:space="preserve">Nigeria's NSE reached 146,600 points despite sovereign stress, up 43% annually on insurance sector strength, and a pivot by investors to mid-cap, growth-focused companies. </w:t>
      </w:r>
    </w:p>
    <w:p w14:paraId="1384CC9B" w14:textId="77777777" w:rsidR="001046BB" w:rsidRDefault="001046BB" w:rsidP="001046BB"/>
    <w:p w14:paraId="4F5604B5" w14:textId="47EC93C9" w:rsidR="001046BB" w:rsidRDefault="001046BB" w:rsidP="001046BB">
      <w:r>
        <w:t xml:space="preserve">Ghana's GSE Composite surged to all-time high of 7,465.72 points, gaining 8.17% monthly and 68.10% year-over-year, with influence from MTN Ghana dominance, gold ETF strength and debt restructuring conference. </w:t>
      </w:r>
    </w:p>
    <w:p w14:paraId="3B639E91" w14:textId="77777777" w:rsidR="001046BB" w:rsidRDefault="001046BB" w:rsidP="001046BB"/>
    <w:p w14:paraId="152866C8" w14:textId="272B6041" w:rsidR="00803872" w:rsidRDefault="001046BB" w:rsidP="001046BB">
      <w:r>
        <w:t xml:space="preserve">South Africa's JSE All-Share reached record 103,266 points supported by robust exchange financials and 99.94% operational uptime. </w:t>
      </w:r>
    </w:p>
    <w:p w14:paraId="2FBD5C14" w14:textId="77777777" w:rsidR="001046BB" w:rsidRPr="001046BB" w:rsidRDefault="001046BB" w:rsidP="001046BB">
      <w:pPr>
        <w:rPr>
          <w:lang w:val="en-US"/>
        </w:rPr>
      </w:pPr>
    </w:p>
    <w:p w14:paraId="584BC598" w14:textId="2E9BDA7B" w:rsidR="00803872" w:rsidRDefault="00803872" w:rsidP="00AF231A">
      <w:pPr>
        <w:rPr>
          <w:b/>
          <w:bCs/>
        </w:rPr>
      </w:pPr>
      <w:r w:rsidRPr="00803872">
        <w:rPr>
          <w:b/>
          <w:bCs/>
        </w:rPr>
        <w:t xml:space="preserve">Fixed Income </w:t>
      </w:r>
      <w:r w:rsidRPr="000D66CD">
        <w:rPr>
          <w:b/>
          <w:bCs/>
        </w:rPr>
        <w:t xml:space="preserve">– </w:t>
      </w:r>
      <w:r w:rsidR="005835CC">
        <w:rPr>
          <w:b/>
          <w:bCs/>
        </w:rPr>
        <w:t>S</w:t>
      </w:r>
      <w:r w:rsidR="002A186E">
        <w:rPr>
          <w:b/>
          <w:bCs/>
        </w:rPr>
        <w:t>till Att</w:t>
      </w:r>
      <w:r w:rsidR="00334833">
        <w:rPr>
          <w:b/>
          <w:bCs/>
        </w:rPr>
        <w:t>r</w:t>
      </w:r>
      <w:r w:rsidR="000949CD">
        <w:rPr>
          <w:b/>
          <w:bCs/>
        </w:rPr>
        <w:t>act</w:t>
      </w:r>
      <w:r w:rsidR="00155DC3">
        <w:rPr>
          <w:b/>
          <w:bCs/>
        </w:rPr>
        <w:t>ive</w:t>
      </w:r>
    </w:p>
    <w:p w14:paraId="7687FF9E" w14:textId="77777777" w:rsidR="00803872" w:rsidRDefault="00803872" w:rsidP="00AF231A">
      <w:pPr>
        <w:rPr>
          <w:b/>
          <w:bCs/>
        </w:rPr>
      </w:pPr>
    </w:p>
    <w:p w14:paraId="00F4969C" w14:textId="45F64817" w:rsidR="001046BB" w:rsidRDefault="001046BB" w:rsidP="001046BB">
      <w:r>
        <w:t xml:space="preserve">Nigeria's Eurobond yields spiked above 11% while Morocco achieved just 4.75%, showcasing dramatic sovereign credit differentiation. </w:t>
      </w:r>
    </w:p>
    <w:p w14:paraId="56DC7C2B" w14:textId="77777777" w:rsidR="001046BB" w:rsidRDefault="001046BB" w:rsidP="001046BB"/>
    <w:p w14:paraId="42428470" w14:textId="5907EDDB" w:rsidR="001046BB" w:rsidRDefault="001046BB" w:rsidP="001046BB">
      <w:r>
        <w:t xml:space="preserve">Kenya's yields dropped to 8.3% from 10.4%, proving that credible IMF programs can deliver tangible market rewards. </w:t>
      </w:r>
    </w:p>
    <w:p w14:paraId="5AC23B20" w14:textId="77777777" w:rsidR="001046BB" w:rsidRDefault="001046BB" w:rsidP="001046BB"/>
    <w:p w14:paraId="45A70002" w14:textId="3889CFB2" w:rsidR="000760B0" w:rsidRPr="00214E9B" w:rsidRDefault="001046BB" w:rsidP="001D28FD">
      <w:r w:rsidRPr="00214E9B">
        <w:t>Egypt remained above 8% while Morocco's €2 billion Eurobond was oversubscribed three times</w:t>
      </w:r>
      <w:r w:rsidR="000C5C82" w:rsidRPr="00214E9B">
        <w:t>.</w:t>
      </w:r>
    </w:p>
    <w:p w14:paraId="5BD20FAF" w14:textId="77777777" w:rsidR="000760B0" w:rsidRDefault="000760B0" w:rsidP="001D28FD">
      <w:pPr>
        <w:rPr>
          <w:b/>
          <w:bCs/>
        </w:rPr>
      </w:pPr>
    </w:p>
    <w:p w14:paraId="6BCF05AE" w14:textId="77777777" w:rsidR="000760B0" w:rsidRDefault="000760B0" w:rsidP="001D28FD">
      <w:pPr>
        <w:rPr>
          <w:b/>
          <w:bCs/>
        </w:rPr>
      </w:pPr>
    </w:p>
    <w:p w14:paraId="7757A1FC" w14:textId="4E19C58E" w:rsidR="000760B0" w:rsidRDefault="002E3376" w:rsidP="001D28FD">
      <w:pPr>
        <w:rPr>
          <w:b/>
          <w:bCs/>
        </w:rPr>
      </w:pPr>
      <w:r>
        <w:rPr>
          <w:b/>
          <w:bCs/>
        </w:rPr>
        <w:t>September Outlook</w:t>
      </w:r>
    </w:p>
    <w:p w14:paraId="3F1EF428" w14:textId="77777777" w:rsidR="000760B0" w:rsidRDefault="000760B0" w:rsidP="001D28FD">
      <w:pPr>
        <w:rPr>
          <w:b/>
          <w:bCs/>
        </w:rPr>
      </w:pPr>
    </w:p>
    <w:p w14:paraId="63217247" w14:textId="040811C9" w:rsidR="002E3376" w:rsidRDefault="002E3376" w:rsidP="001D28FD">
      <w:r w:rsidRPr="002E3376">
        <w:t xml:space="preserve">Sub-Saharan Africa enters September 2025 with equity markets at record highs despite persistent sovereign debt stress, as Morocco, Nigeria, Ghana, and South Africa's exchanges all peaked in August while </w:t>
      </w:r>
      <w:r>
        <w:t>E</w:t>
      </w:r>
      <w:r w:rsidRPr="002E3376">
        <w:t>urobond yields remain elevated—Nigeria above 11% versus Morocco's 4.75%—reflecting a dramatic decoupling where corporate fundamentals have separated from sovereign creditworthiness</w:t>
      </w:r>
      <w:r>
        <w:t>.</w:t>
      </w:r>
      <w:r w:rsidRPr="002E3376">
        <w:t xml:space="preserve"> </w:t>
      </w:r>
    </w:p>
    <w:p w14:paraId="048B1950" w14:textId="77777777" w:rsidR="002E3376" w:rsidRDefault="002E3376" w:rsidP="001D28FD"/>
    <w:p w14:paraId="252FAF76" w14:textId="1529ED8E" w:rsidR="002E3376" w:rsidRDefault="002E3376" w:rsidP="001D28FD">
      <w:r w:rsidRPr="002E3376">
        <w:t xml:space="preserve">The region's modest 3.5-3.8% growth projection, constrained by weak commodity prices and fiscal deficits averaging over 60% of GDP, contrasts sharply with equity sector leadership driven by Morocco's World Cup 2030 infrastructure boom, Nigeria's insurance rotation, Ghana's telecom strength, and South Africa's mining surge on record gold prices </w:t>
      </w:r>
    </w:p>
    <w:p w14:paraId="719D6841" w14:textId="77777777" w:rsidR="002E3376" w:rsidRDefault="002E3376" w:rsidP="001D28FD"/>
    <w:p w14:paraId="16C4C84E" w14:textId="2BD0DF9D" w:rsidR="001D28FD" w:rsidRPr="001D28FD" w:rsidRDefault="002E3376" w:rsidP="001D28FD">
      <w:r w:rsidRPr="002E3376">
        <w:t>September's outlook hinges on Federal Reserve policy signals that could compress yields for reform-oriented credits like Kenya, Q3 earnings season results, and whether the selective monetary easing across the region can sustain equity momentum while sovereign debt markets remain bifurcated, demanding country-specific rather than blanket regional investment strategies</w:t>
      </w:r>
      <w:r>
        <w:t xml:space="preserve">. </w:t>
      </w:r>
    </w:p>
    <w:sectPr w:rsidR="001D28FD" w:rsidRPr="001D28FD" w:rsidSect="00AF231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64421"/>
    <w:multiLevelType w:val="hybridMultilevel"/>
    <w:tmpl w:val="AC2A5B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0AF"/>
    <w:multiLevelType w:val="hybridMultilevel"/>
    <w:tmpl w:val="645488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94101"/>
    <w:multiLevelType w:val="hybridMultilevel"/>
    <w:tmpl w:val="01BCD51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1017136">
    <w:abstractNumId w:val="2"/>
  </w:num>
  <w:num w:numId="2" w16cid:durableId="1573269496">
    <w:abstractNumId w:val="0"/>
  </w:num>
  <w:num w:numId="3" w16cid:durableId="785661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7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31A"/>
    <w:rsid w:val="00034AF7"/>
    <w:rsid w:val="000479D0"/>
    <w:rsid w:val="000760B0"/>
    <w:rsid w:val="000949CD"/>
    <w:rsid w:val="00096345"/>
    <w:rsid w:val="000C5C82"/>
    <w:rsid w:val="000D66CD"/>
    <w:rsid w:val="001046BB"/>
    <w:rsid w:val="00112C83"/>
    <w:rsid w:val="00155DC3"/>
    <w:rsid w:val="00160E1B"/>
    <w:rsid w:val="001B6A89"/>
    <w:rsid w:val="001D28FD"/>
    <w:rsid w:val="00214E9B"/>
    <w:rsid w:val="0022131C"/>
    <w:rsid w:val="0023501C"/>
    <w:rsid w:val="00236032"/>
    <w:rsid w:val="002477C7"/>
    <w:rsid w:val="002841C0"/>
    <w:rsid w:val="002A186E"/>
    <w:rsid w:val="002D77A6"/>
    <w:rsid w:val="002E3376"/>
    <w:rsid w:val="00311CE0"/>
    <w:rsid w:val="00334833"/>
    <w:rsid w:val="003C6852"/>
    <w:rsid w:val="003F6D4A"/>
    <w:rsid w:val="004127EB"/>
    <w:rsid w:val="00451282"/>
    <w:rsid w:val="00492D11"/>
    <w:rsid w:val="004942B2"/>
    <w:rsid w:val="004B1DEC"/>
    <w:rsid w:val="0051199B"/>
    <w:rsid w:val="0053470A"/>
    <w:rsid w:val="00543E69"/>
    <w:rsid w:val="005835CC"/>
    <w:rsid w:val="005A1443"/>
    <w:rsid w:val="005B0483"/>
    <w:rsid w:val="005B218E"/>
    <w:rsid w:val="005D7A61"/>
    <w:rsid w:val="005E3AC9"/>
    <w:rsid w:val="005F3A65"/>
    <w:rsid w:val="00695DE0"/>
    <w:rsid w:val="006D45AC"/>
    <w:rsid w:val="006D57E2"/>
    <w:rsid w:val="007A13F8"/>
    <w:rsid w:val="007C69E8"/>
    <w:rsid w:val="00803872"/>
    <w:rsid w:val="00805DF1"/>
    <w:rsid w:val="00833CF5"/>
    <w:rsid w:val="00885B11"/>
    <w:rsid w:val="00905E47"/>
    <w:rsid w:val="00947D40"/>
    <w:rsid w:val="00974329"/>
    <w:rsid w:val="00987E83"/>
    <w:rsid w:val="009A54DB"/>
    <w:rsid w:val="009C0106"/>
    <w:rsid w:val="00A842FA"/>
    <w:rsid w:val="00A87BA4"/>
    <w:rsid w:val="00AB0D4D"/>
    <w:rsid w:val="00AF231A"/>
    <w:rsid w:val="00BA54E9"/>
    <w:rsid w:val="00BD61D9"/>
    <w:rsid w:val="00BE0D81"/>
    <w:rsid w:val="00C84BE0"/>
    <w:rsid w:val="00CB506E"/>
    <w:rsid w:val="00CC70BE"/>
    <w:rsid w:val="00CD33C6"/>
    <w:rsid w:val="00D05E6B"/>
    <w:rsid w:val="00D63E24"/>
    <w:rsid w:val="00D641D5"/>
    <w:rsid w:val="00D67851"/>
    <w:rsid w:val="00D765C4"/>
    <w:rsid w:val="00D94E20"/>
    <w:rsid w:val="00D95E1D"/>
    <w:rsid w:val="00DD531E"/>
    <w:rsid w:val="00E00404"/>
    <w:rsid w:val="00E109E9"/>
    <w:rsid w:val="00E403D0"/>
    <w:rsid w:val="00E44A48"/>
    <w:rsid w:val="00EB6555"/>
    <w:rsid w:val="00EF52B8"/>
    <w:rsid w:val="00F048B6"/>
    <w:rsid w:val="00F10796"/>
    <w:rsid w:val="00F1660F"/>
    <w:rsid w:val="00FF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0A3B21"/>
  <w15:chartTrackingRefBased/>
  <w15:docId w15:val="{D6D2D3E7-5981-42AD-8945-DD8CC774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31A"/>
    <w:pPr>
      <w:spacing w:after="0" w:line="240" w:lineRule="auto"/>
      <w:jc w:val="both"/>
    </w:pPr>
    <w:rPr>
      <w:rFonts w:ascii="Aptos" w:hAnsi="Apto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31A"/>
    <w:pPr>
      <w:keepNext/>
      <w:keepLines/>
      <w:spacing w:before="120" w:after="120"/>
      <w:outlineLvl w:val="0"/>
    </w:pPr>
    <w:rPr>
      <w:rFonts w:ascii="Century Gothic" w:eastAsiaTheme="majorEastAsia" w:hAnsi="Century Gothic" w:cstheme="majorBidi"/>
      <w:color w:val="172C3E"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3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3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3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3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3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3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3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3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31A"/>
    <w:rPr>
      <w:rFonts w:ascii="Century Gothic" w:eastAsiaTheme="majorEastAsia" w:hAnsi="Century Gothic" w:cstheme="majorBidi"/>
      <w:color w:val="172C3E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3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3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3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3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3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3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3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3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3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2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3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23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3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23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3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23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3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3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3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5" Type="http://schemas.openxmlformats.org/officeDocument/2006/relationships/numbering" Target="numbering.xml" /><Relationship Id="rId10" Type="http://schemas.openxmlformats.org/officeDocument/2006/relationships/theme" Target="theme/theme1.xml" /><Relationship Id="rId4" Type="http://schemas.openxmlformats.org/officeDocument/2006/relationships/customXml" Target="../customXml/item4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c24472-2d68-4b0e-ad83-10849db491ef" xsi:nil="true"/>
    <lcf76f155ced4ddcb4097134ff3c332f xmlns="cfbcdeb4-874f-4053-9479-5046ca9738b6">
      <Terms xmlns="http://schemas.microsoft.com/office/infopath/2007/PartnerControls"/>
    </lcf76f155ced4ddcb4097134ff3c332f>
    <_dlc_DocId xmlns="ecc24472-2d68-4b0e-ad83-10849db491ef">KA3W23DXNYHK-1465239417-40896</_dlc_DocId>
    <_dlc_DocIdUrl xmlns="ecc24472-2d68-4b0e-ad83-10849db491ef">
      <Url>https://centumbusiness.sharepoint.com/sites/nabo/_layouts/15/DocIdRedir.aspx?ID=KA3W23DXNYHK-1465239417-40896</Url>
      <Description>KA3W23DXNYHK-1465239417-40896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AE143E847CE45B0CF2FC7D6F617D6" ma:contentTypeVersion="18" ma:contentTypeDescription="Create a new document." ma:contentTypeScope="" ma:versionID="8e736325a863e454b1c0e91e23efcb4c">
  <xsd:schema xmlns:xsd="http://www.w3.org/2001/XMLSchema" xmlns:xs="http://www.w3.org/2001/XMLSchema" xmlns:p="http://schemas.microsoft.com/office/2006/metadata/properties" xmlns:ns2="ecc24472-2d68-4b0e-ad83-10849db491ef" xmlns:ns3="cfbcdeb4-874f-4053-9479-5046ca9738b6" targetNamespace="http://schemas.microsoft.com/office/2006/metadata/properties" ma:root="true" ma:fieldsID="0ce9bf1b252b0713a4dc47def992d1d9" ns2:_="" ns3:_="">
    <xsd:import namespace="ecc24472-2d68-4b0e-ad83-10849db491ef"/>
    <xsd:import namespace="cfbcdeb4-874f-4053-9479-5046ca9738b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24472-2d68-4b0e-ad83-10849db491e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c4f8c8-544e-4c5c-85f2-0f002aedb7fe}" ma:internalName="TaxCatchAll" ma:showField="CatchAllData" ma:web="ecc24472-2d68-4b0e-ad83-10849db491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cdeb4-874f-4053-9479-5046ca97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d426179-8bd7-44bc-b2a2-39db7330a2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66F7DC-0BDF-4BE5-AB6B-A88A6F494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B81872-A0D6-4010-8BE2-B6812A85B40B}">
  <ds:schemaRefs>
    <ds:schemaRef ds:uri="http://schemas.microsoft.com/office/2006/metadata/properties"/>
    <ds:schemaRef ds:uri="http://www.w3.org/2000/xmlns/"/>
    <ds:schemaRef ds:uri="ecc24472-2d68-4b0e-ad83-10849db491ef"/>
    <ds:schemaRef ds:uri="http://www.w3.org/2001/XMLSchema-instance"/>
    <ds:schemaRef ds:uri="cfbcdeb4-874f-4053-9479-5046ca9738b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476B4-9BD9-418E-9BF9-8FC02876ED67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ecc24472-2d68-4b0e-ad83-10849db491ef"/>
    <ds:schemaRef ds:uri="cfbcdeb4-874f-4053-9479-5046ca9738b6"/>
  </ds:schemaRefs>
</ds:datastoreItem>
</file>

<file path=customXml/itemProps4.xml><?xml version="1.0" encoding="utf-8"?>
<ds:datastoreItem xmlns:ds="http://schemas.openxmlformats.org/officeDocument/2006/customXml" ds:itemID="{EF98A7C0-65EE-4BB8-8CEC-D380E56F6DC8}">
  <ds:schemaRefs>
    <ds:schemaRef ds:uri="http://schemas.microsoft.com/sharepoint/events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Tobiko Oidamae</dc:creator>
  <cp:keywords/>
  <dc:description/>
  <cp:lastModifiedBy>Lauryne Adhiambo</cp:lastModifiedBy>
  <cp:revision>2</cp:revision>
  <dcterms:created xsi:type="dcterms:W3CDTF">2025-09-11T12:21:00Z</dcterms:created>
  <dcterms:modified xsi:type="dcterms:W3CDTF">2025-09-11T12:21:00Z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0x0101002B6AE143E847CE45B0CF2FC7D6F617D6</vt:lpwstr>
  </property>
  <property fmtid="{D5CDD505-2E9C-101B-9397-08002B2CF9AE}" pid="3" name="_dlc_DocIdItemGuid">
    <vt:lpwstr>05075131-cade-4ac0-b986-bc2d0c600281</vt:lpwstr>
  </property>
  <property fmtid="{D5CDD505-2E9C-101B-9397-08002B2CF9AE}" pid="4" name="MediaServiceImageTags">
    <vt:lpwstr/>
  </property>
</Properties>
</file>